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</w:rPr>
        <w:t>多设备氢能测试控制系统采购技术要求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海洋对于人类发展至关重要，而水下机器人作为探索海洋的有力工具，近些年得到快速发展。缆控水下机器人（Remote Operated Vehicle</w:t>
      </w:r>
      <w:r>
        <w:rPr>
          <w:rFonts w:hint="eastAsia"/>
          <w:sz w:val="24"/>
          <w:szCs w:val="24"/>
        </w:rPr>
        <w:t>, ROV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因其可配备机械手或者抓取装备，而备受业界欢迎。ROV电力推进是其关键技术之一，R</w:t>
      </w:r>
      <w:r>
        <w:rPr>
          <w:sz w:val="24"/>
          <w:szCs w:val="24"/>
        </w:rPr>
        <w:t>OV</w:t>
      </w:r>
      <w:r>
        <w:rPr>
          <w:rFonts w:hint="eastAsia"/>
          <w:sz w:val="24"/>
          <w:szCs w:val="24"/>
        </w:rPr>
        <w:t>推进和设备用电均通过脐带缆由母船电力系统提供，需满足ROV航速</w:t>
      </w:r>
      <w:r>
        <w:rPr>
          <w:rFonts w:hint="eastAsia"/>
          <w:sz w:val="24"/>
          <w:szCs w:val="24"/>
          <w:lang w:eastAsia="zh-CN"/>
        </w:rPr>
        <w:t>和其他设备</w:t>
      </w:r>
      <w:r>
        <w:rPr>
          <w:rFonts w:hint="eastAsia"/>
          <w:sz w:val="24"/>
          <w:szCs w:val="24"/>
        </w:rPr>
        <w:t>、仪器的正常工作的要求。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传统的船舶电源由柴油发电机组和蓄电池组成，但柴油发电机组在工作过程中，会产生大量高温的废气和烟雾而污染环境。氢燃料电池是将氧气与氢气的化学能转换成电能的发电装置，生成物为水，具有高效、无污染、设备运行噪音低等特点，氢燃料电池具有广泛的应用前景。作为ROV的母船不仅要为船上设备供电，还要为水下ROV供电。若ROV母船采用氢燃料电池作为动力源，则是绿色、环保、低碳的优越设计模式，是未来行业发展的方向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ROV母船采用氢燃料电池作为动力源，不仅是母船提供所需的能量，而且为R</w:t>
      </w:r>
      <w:r>
        <w:rPr>
          <w:sz w:val="24"/>
          <w:szCs w:val="24"/>
        </w:rPr>
        <w:t>OV</w:t>
      </w:r>
      <w:r>
        <w:rPr>
          <w:rFonts w:hint="eastAsia"/>
          <w:sz w:val="24"/>
          <w:szCs w:val="24"/>
        </w:rPr>
        <w:t>提供所需的能量；</w:t>
      </w:r>
      <w:r>
        <w:rPr>
          <w:sz w:val="24"/>
          <w:szCs w:val="24"/>
        </w:rPr>
        <w:t>母船氢燃料电池</w:t>
      </w:r>
      <w:r>
        <w:rPr>
          <w:rFonts w:hint="eastAsia"/>
          <w:sz w:val="24"/>
          <w:szCs w:val="24"/>
        </w:rPr>
        <w:t>发电系统</w:t>
      </w:r>
      <w:r>
        <w:rPr>
          <w:rFonts w:hint="eastAsia"/>
          <w:sz w:val="24"/>
          <w:szCs w:val="24"/>
          <w:lang w:eastAsia="zh-CN"/>
        </w:rPr>
        <w:t>涉及</w:t>
      </w:r>
      <w:r>
        <w:rPr>
          <w:rFonts w:hint="eastAsia"/>
          <w:sz w:val="24"/>
          <w:szCs w:val="24"/>
        </w:rPr>
        <w:t>用于氢发电机、回水控制系统、锂电池系统和负载系统的通信和统一控制，可通过控制器与各设备通信，并实现相应负载变化控制等多设备氢能测试控制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根据建设需要，有关“多设备氢能测试控制系统”采购技术要求如下：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sz w:val="24"/>
          <w:szCs w:val="24"/>
        </w:rPr>
        <w:t>采购多设备氢能测试控制系统一套，</w:t>
      </w:r>
      <w:r>
        <w:rPr>
          <w:sz w:val="24"/>
          <w:szCs w:val="24"/>
        </w:rPr>
        <w:t>由控制台和系统控制软件构成</w:t>
      </w:r>
      <w:r>
        <w:rPr>
          <w:rFonts w:hint="eastAsia"/>
          <w:sz w:val="24"/>
          <w:szCs w:val="24"/>
        </w:rPr>
        <w:t>；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sz w:val="24"/>
          <w:szCs w:val="24"/>
        </w:rPr>
        <w:t>本系统平台需满足氢发电机、回水控制系统、锂电池系统和负载系统通信控制的专用控制台，控制台主要由工控机、</w:t>
      </w:r>
      <w:r>
        <w:rPr>
          <w:sz w:val="24"/>
          <w:szCs w:val="24"/>
        </w:rPr>
        <w:t>显示器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机柜</w:t>
      </w:r>
      <w:r>
        <w:rPr>
          <w:rFonts w:hint="eastAsia"/>
          <w:sz w:val="24"/>
          <w:szCs w:val="24"/>
        </w:rPr>
        <w:t>、电源系统</w:t>
      </w:r>
      <w:r>
        <w:rPr>
          <w:sz w:val="24"/>
          <w:szCs w:val="24"/>
        </w:rPr>
        <w:t>等组成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sz w:val="24"/>
          <w:szCs w:val="24"/>
        </w:rPr>
        <w:t>控制台</w:t>
      </w:r>
      <w:r>
        <w:rPr>
          <w:rFonts w:hint="eastAsia"/>
          <w:sz w:val="24"/>
          <w:szCs w:val="24"/>
          <w:lang w:eastAsia="zh-CN"/>
        </w:rPr>
        <w:t>至少包含两个</w:t>
      </w:r>
      <w:r>
        <w:rPr>
          <w:sz w:val="24"/>
          <w:szCs w:val="24"/>
        </w:rPr>
        <w:t>的RS485接口、两个以上的CAN接口和至少一个以太网接口</w:t>
      </w:r>
      <w:r>
        <w:rPr>
          <w:rFonts w:hint="eastAsia"/>
          <w:sz w:val="24"/>
          <w:szCs w:val="24"/>
        </w:rPr>
        <w:t>；并能通过通信接口与相应接入设备进行数据交互；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sz w:val="24"/>
          <w:szCs w:val="24"/>
        </w:rPr>
        <w:t>控制台使用电源为</w:t>
      </w:r>
      <w:r>
        <w:rPr>
          <w:rFonts w:hint="eastAsia"/>
          <w:sz w:val="24"/>
          <w:szCs w:val="24"/>
        </w:rPr>
        <w:t>交流2</w:t>
      </w:r>
      <w:r>
        <w:rPr>
          <w:sz w:val="24"/>
          <w:szCs w:val="24"/>
        </w:rPr>
        <w:t>20伏市用电源</w:t>
      </w:r>
      <w:r>
        <w:rPr>
          <w:rFonts w:hint="eastAsia"/>
          <w:sz w:val="24"/>
          <w:szCs w:val="24"/>
        </w:rPr>
        <w:t>；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sz w:val="24"/>
          <w:szCs w:val="24"/>
        </w:rPr>
        <w:t>本系统平台需编制相关软件，以达到</w:t>
      </w:r>
      <w:r>
        <w:rPr>
          <w:rFonts w:hint="eastAsia"/>
          <w:sz w:val="24"/>
          <w:szCs w:val="24"/>
          <w:lang w:val="zh-CN"/>
        </w:rPr>
        <w:t>用</w:t>
      </w:r>
      <w:r>
        <w:rPr>
          <w:rFonts w:hint="eastAsia"/>
          <w:sz w:val="24"/>
          <w:szCs w:val="24"/>
        </w:rPr>
        <w:t>氢发电机、回水控制系统、锂电池系统和负载系统的通信要求；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控制软件可对</w:t>
      </w:r>
      <w:r>
        <w:rPr>
          <w:rFonts w:hint="eastAsia"/>
          <w:sz w:val="24"/>
          <w:szCs w:val="24"/>
        </w:rPr>
        <w:t>接入</w:t>
      </w:r>
      <w:r>
        <w:rPr>
          <w:sz w:val="24"/>
          <w:szCs w:val="24"/>
        </w:rPr>
        <w:t>设备进行实时数据采集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控制</w:t>
      </w:r>
      <w:r>
        <w:rPr>
          <w:rFonts w:hint="eastAsia"/>
          <w:sz w:val="24"/>
          <w:szCs w:val="24"/>
        </w:rPr>
        <w:t>、管理、统计等必要的操作；</w:t>
      </w:r>
    </w:p>
    <w:p>
      <w:pPr>
        <w:pStyle w:val="3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）</w:t>
      </w:r>
      <w:r>
        <w:rPr>
          <w:sz w:val="24"/>
          <w:szCs w:val="24"/>
        </w:rPr>
        <w:t>通过控制软件对</w:t>
      </w:r>
      <w:r>
        <w:rPr>
          <w:rFonts w:hint="eastAsia"/>
          <w:sz w:val="24"/>
          <w:szCs w:val="24"/>
        </w:rPr>
        <w:t>全电船用电侧能量分配和负载变动进行</w:t>
      </w:r>
      <w:r>
        <w:rPr>
          <w:sz w:val="24"/>
          <w:szCs w:val="24"/>
        </w:rPr>
        <w:t>在线</w:t>
      </w:r>
      <w:r>
        <w:rPr>
          <w:rFonts w:hint="eastAsia"/>
          <w:sz w:val="24"/>
          <w:szCs w:val="24"/>
        </w:rPr>
        <w:t>模拟操作和</w:t>
      </w:r>
      <w:r>
        <w:rPr>
          <w:sz w:val="24"/>
          <w:szCs w:val="24"/>
        </w:rPr>
        <w:t>分析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并生成相关报告</w:t>
      </w:r>
      <w:r>
        <w:rPr>
          <w:rFonts w:hint="eastAsia"/>
          <w:sz w:val="24"/>
          <w:szCs w:val="24"/>
        </w:rPr>
        <w:t>；</w:t>
      </w:r>
    </w:p>
    <w:p>
      <w:pPr>
        <w:pStyle w:val="34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）本系统要求为开放型系统，以便于后期再添加接入设备及增加相应的控制方法；</w:t>
      </w:r>
    </w:p>
    <w:p>
      <w:pPr>
        <w:pStyle w:val="34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需提供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系统必需的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外围设备及现场送货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测试服务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pStyle w:val="34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）自甲方验收合格之日起，乙方承诺合同内产品售后质量保证期1年，终身维护；</w:t>
      </w:r>
    </w:p>
    <w:p>
      <w:pPr>
        <w:pStyle w:val="34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）交货期：签订合同后2个月内，验收通过后一次性付款。</w:t>
      </w: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9354651"/>
      <w:docPartObj>
        <w:docPartGallery w:val="autotext"/>
      </w:docPartObj>
    </w:sdtPr>
    <w:sdtContent>
      <w:p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7197C"/>
    <w:multiLevelType w:val="multilevel"/>
    <w:tmpl w:val="2437197C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4B6407"/>
    <w:rsid w:val="00052CC0"/>
    <w:rsid w:val="000C5DA6"/>
    <w:rsid w:val="00220360"/>
    <w:rsid w:val="002E31D8"/>
    <w:rsid w:val="00363168"/>
    <w:rsid w:val="003951DB"/>
    <w:rsid w:val="003C3A3C"/>
    <w:rsid w:val="004150CB"/>
    <w:rsid w:val="004325A3"/>
    <w:rsid w:val="0047611F"/>
    <w:rsid w:val="004B6407"/>
    <w:rsid w:val="0059673F"/>
    <w:rsid w:val="006E387E"/>
    <w:rsid w:val="00716ECD"/>
    <w:rsid w:val="007A4472"/>
    <w:rsid w:val="007C1059"/>
    <w:rsid w:val="00847951"/>
    <w:rsid w:val="00877802"/>
    <w:rsid w:val="008E2036"/>
    <w:rsid w:val="008F4AD2"/>
    <w:rsid w:val="009E57CA"/>
    <w:rsid w:val="00A412EA"/>
    <w:rsid w:val="00A711D1"/>
    <w:rsid w:val="00B83EF9"/>
    <w:rsid w:val="00B84EBF"/>
    <w:rsid w:val="00D069B7"/>
    <w:rsid w:val="00D43B5D"/>
    <w:rsid w:val="00D65E08"/>
    <w:rsid w:val="00D71B1B"/>
    <w:rsid w:val="00DA3838"/>
    <w:rsid w:val="00EF2708"/>
    <w:rsid w:val="00F02F37"/>
    <w:rsid w:val="00F11F59"/>
    <w:rsid w:val="00F458AE"/>
    <w:rsid w:val="00F96066"/>
    <w:rsid w:val="00FC38B6"/>
    <w:rsid w:val="3D206FDA"/>
    <w:rsid w:val="71E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0" w:firstLineChars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autoRedefine/>
    <w:unhideWhenUsed/>
    <w:uiPriority w:val="39"/>
    <w:pPr>
      <w:ind w:left="840" w:leftChars="400"/>
    </w:pPr>
  </w:style>
  <w:style w:type="paragraph" w:styleId="12">
    <w:name w:val="Plain Text"/>
    <w:basedOn w:val="1"/>
    <w:link w:val="35"/>
    <w:autoRedefine/>
    <w:semiHidden/>
    <w:qFormat/>
    <w:uiPriority w:val="0"/>
    <w:pPr>
      <w:ind w:firstLine="0" w:firstLineChars="0"/>
    </w:pPr>
    <w:rPr>
      <w:rFonts w:ascii="宋体" w:hAnsi="Courier New"/>
      <w:sz w:val="21"/>
    </w:rPr>
  </w:style>
  <w:style w:type="paragraph" w:styleId="1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uiPriority w:val="39"/>
  </w:style>
  <w:style w:type="paragraph" w:styleId="16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7">
    <w:name w:val="Title"/>
    <w:basedOn w:val="1"/>
    <w:next w:val="1"/>
    <w:link w:val="32"/>
    <w:autoRedefine/>
    <w:qFormat/>
    <w:uiPriority w:val="0"/>
    <w:pPr>
      <w:spacing w:before="240" w:after="120" w:line="520" w:lineRule="exact"/>
      <w:ind w:firstLine="0" w:firstLineChars="0"/>
      <w:jc w:val="center"/>
      <w:outlineLvl w:val="0"/>
    </w:pPr>
    <w:rPr>
      <w:rFonts w:eastAsia="黑体"/>
      <w:bCs/>
      <w:kern w:val="28"/>
      <w:sz w:val="48"/>
      <w:szCs w:val="32"/>
      <w:lang w:val="zh-CN" w:eastAsia="zh-CN"/>
    </w:rPr>
  </w:style>
  <w:style w:type="character" w:styleId="20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9"/>
    <w:link w:val="14"/>
    <w:uiPriority w:val="99"/>
    <w:rPr>
      <w:sz w:val="18"/>
      <w:szCs w:val="18"/>
    </w:rPr>
  </w:style>
  <w:style w:type="character" w:customStyle="1" w:styleId="22">
    <w:name w:val="页脚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23">
    <w:name w:val="标题 1 字符"/>
    <w:basedOn w:val="19"/>
    <w:link w:val="2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9"/>
    <w:link w:val="3"/>
    <w:autoRedefine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5">
    <w:name w:val="标题 3 字符"/>
    <w:basedOn w:val="19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4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字符"/>
    <w:basedOn w:val="19"/>
    <w:link w:val="6"/>
    <w:autoRedefine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8">
    <w:name w:val="标题 6 字符"/>
    <w:basedOn w:val="19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字符"/>
    <w:basedOn w:val="19"/>
    <w:link w:val="8"/>
    <w:autoRedefine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0">
    <w:name w:val="标题 8 字符"/>
    <w:basedOn w:val="19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字符"/>
    <w:basedOn w:val="19"/>
    <w:link w:val="10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字符"/>
    <w:basedOn w:val="19"/>
    <w:link w:val="17"/>
    <w:autoRedefine/>
    <w:qFormat/>
    <w:uiPriority w:val="0"/>
    <w:rPr>
      <w:rFonts w:ascii="Times New Roman" w:hAnsi="Times New Roman" w:eastAsia="黑体" w:cs="Times New Roman"/>
      <w:bCs/>
      <w:kern w:val="28"/>
      <w:sz w:val="48"/>
      <w:szCs w:val="32"/>
      <w:lang w:val="zh-CN" w:eastAsia="zh-CN"/>
    </w:rPr>
  </w:style>
  <w:style w:type="paragraph" w:customStyle="1" w:styleId="33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34">
    <w:name w:val="List Paragraph"/>
    <w:basedOn w:val="1"/>
    <w:autoRedefine/>
    <w:qFormat/>
    <w:uiPriority w:val="34"/>
    <w:pPr>
      <w:ind w:firstLine="420"/>
    </w:pPr>
  </w:style>
  <w:style w:type="character" w:customStyle="1" w:styleId="35">
    <w:name w:val="纯文本 字符"/>
    <w:basedOn w:val="19"/>
    <w:link w:val="12"/>
    <w:autoRedefine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36">
    <w:name w:val="未处理的提及1"/>
    <w:basedOn w:val="1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155</Words>
  <Characters>886</Characters>
  <Lines>7</Lines>
  <Paragraphs>2</Paragraphs>
  <TotalTime>75</TotalTime>
  <ScaleCrop>false</ScaleCrop>
  <LinksUpToDate>false</LinksUpToDate>
  <CharactersWithSpaces>1039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2022-10-26T10:17:00Z</dcterms:created>
  <dc:creator>China</dc:creator>
  <cp:lastModifiedBy>仲杰</cp:lastModifiedBy>
  <dcterms:modified xsi:type="dcterms:W3CDTF">2024-05-31T04:47:22Z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FC54AC5EF08E4E1B89E62F23FEE02C50_12</vt:lpwstr>
  </property>
</Properties>
</file>